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00D" w:rsidRDefault="007C242B">
      <w:pPr>
        <w:pStyle w:val="1"/>
      </w:pPr>
      <w:r>
        <w:rPr>
          <w:rFonts w:hint="eastAsia"/>
        </w:rPr>
        <w:t>PQDT</w:t>
      </w:r>
      <w:r>
        <w:rPr>
          <w:rFonts w:hint="eastAsia"/>
        </w:rPr>
        <w:t>学位论文全文</w:t>
      </w:r>
      <w:r w:rsidR="000A78FF">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460E25">
        <w:instrText>ADDIN CNKISM.UserStyle</w:instrText>
      </w:r>
      <w:r w:rsidR="000A78FF">
        <w:fldChar w:fldCharType="end"/>
      </w:r>
      <w:r w:rsidR="00460E25">
        <w:rPr>
          <w:rFonts w:hint="eastAsia"/>
        </w:rPr>
        <w:t>数据库</w:t>
      </w:r>
      <w:r w:rsidR="00460E25">
        <w:t>使用指南</w:t>
      </w:r>
    </w:p>
    <w:p w:rsidR="00F6700D" w:rsidRDefault="00F6700D">
      <w:pPr>
        <w:ind w:left="-424"/>
        <w:jc w:val="center"/>
        <w:rPr>
          <w:rFonts w:eastAsia="黑体"/>
          <w:sz w:val="24"/>
          <w:szCs w:val="24"/>
        </w:rPr>
      </w:pPr>
    </w:p>
    <w:p w:rsidR="00F6700D" w:rsidRDefault="00F6700D">
      <w:pPr>
        <w:ind w:left="-424"/>
        <w:rPr>
          <w:rFonts w:eastAsia="黑体"/>
          <w:sz w:val="24"/>
          <w:szCs w:val="24"/>
        </w:rPr>
      </w:pPr>
    </w:p>
    <w:p w:rsidR="00F6700D" w:rsidRDefault="00460E25">
      <w:pPr>
        <w:pStyle w:val="2"/>
      </w:pPr>
      <w:r>
        <w:rPr>
          <w:rFonts w:hint="eastAsia"/>
        </w:rPr>
        <w:t>一、数据库介绍</w:t>
      </w:r>
    </w:p>
    <w:p w:rsidR="00F6700D" w:rsidRDefault="007C242B" w:rsidP="001E1307">
      <w:pPr>
        <w:spacing w:line="360" w:lineRule="auto"/>
        <w:ind w:left="-425" w:firstLineChars="200" w:firstLine="480"/>
        <w:rPr>
          <w:rFonts w:ascii="宋体" w:hAnsi="宋体" w:cs="宋体"/>
          <w:sz w:val="24"/>
          <w:szCs w:val="24"/>
        </w:rPr>
      </w:pPr>
      <w:r>
        <w:rPr>
          <w:rFonts w:ascii="宋体" w:hAnsi="宋体" w:hint="eastAsia"/>
          <w:sz w:val="24"/>
        </w:rPr>
        <w:t>PQDT学位</w:t>
      </w:r>
      <w:r w:rsidRPr="00C130B0">
        <w:rPr>
          <w:rFonts w:ascii="宋体" w:hAnsi="宋体" w:hint="eastAsia"/>
          <w:sz w:val="24"/>
        </w:rPr>
        <w:t>论文全文数据库是目前国内最完备、高质量、</w:t>
      </w:r>
      <w:r w:rsidR="001E1307">
        <w:rPr>
          <w:rFonts w:ascii="宋体" w:hAnsi="宋体" w:hint="eastAsia"/>
          <w:sz w:val="24"/>
        </w:rPr>
        <w:t>提供</w:t>
      </w:r>
      <w:r w:rsidRPr="00C130B0">
        <w:rPr>
          <w:rFonts w:ascii="宋体" w:hAnsi="宋体" w:hint="eastAsia"/>
          <w:sz w:val="24"/>
        </w:rPr>
        <w:t>国外大学（北美地区为主）优秀博硕士论文全文的数据库，至201</w:t>
      </w:r>
      <w:r w:rsidR="001E1307">
        <w:rPr>
          <w:rFonts w:ascii="宋体" w:hAnsi="宋体" w:hint="eastAsia"/>
          <w:sz w:val="24"/>
        </w:rPr>
        <w:t>9</w:t>
      </w:r>
      <w:r w:rsidRPr="00C130B0">
        <w:rPr>
          <w:rFonts w:ascii="宋体" w:hAnsi="宋体" w:hint="eastAsia"/>
          <w:sz w:val="24"/>
        </w:rPr>
        <w:t>年</w:t>
      </w:r>
      <w:r w:rsidR="001E1307">
        <w:rPr>
          <w:rFonts w:ascii="宋体" w:hAnsi="宋体" w:hint="eastAsia"/>
          <w:sz w:val="24"/>
        </w:rPr>
        <w:t>3</w:t>
      </w:r>
      <w:r w:rsidRPr="00C130B0">
        <w:rPr>
          <w:rFonts w:ascii="宋体" w:hAnsi="宋体" w:hint="eastAsia"/>
          <w:sz w:val="24"/>
        </w:rPr>
        <w:t>月</w:t>
      </w:r>
      <w:r w:rsidR="001E1307">
        <w:rPr>
          <w:rFonts w:ascii="宋体" w:hAnsi="宋体" w:hint="eastAsia"/>
          <w:sz w:val="24"/>
        </w:rPr>
        <w:t>29</w:t>
      </w:r>
      <w:r w:rsidRPr="00C130B0">
        <w:rPr>
          <w:rFonts w:ascii="宋体" w:hAnsi="宋体" w:hint="eastAsia"/>
          <w:sz w:val="24"/>
        </w:rPr>
        <w:t>日止，</w:t>
      </w:r>
      <w:r w:rsidRPr="00C130B0">
        <w:rPr>
          <w:rFonts w:ascii="宋体" w:hAnsi="宋体"/>
          <w:sz w:val="24"/>
        </w:rPr>
        <w:t>累积</w:t>
      </w:r>
      <w:r w:rsidRPr="00C130B0">
        <w:rPr>
          <w:rFonts w:ascii="宋体" w:hAnsi="宋体" w:hint="eastAsia"/>
          <w:sz w:val="24"/>
        </w:rPr>
        <w:t>国外优秀</w:t>
      </w:r>
      <w:r w:rsidRPr="00C130B0">
        <w:rPr>
          <w:rFonts w:ascii="宋体" w:hAnsi="宋体"/>
          <w:sz w:val="24"/>
        </w:rPr>
        <w:t>博硕士论文全文</w:t>
      </w:r>
      <w:r w:rsidRPr="00C130B0">
        <w:rPr>
          <w:rFonts w:ascii="宋体" w:hAnsi="宋体" w:cs="宋体"/>
          <w:kern w:val="0"/>
          <w:sz w:val="24"/>
          <w:lang w:val="zh-CN"/>
        </w:rPr>
        <w:t>7</w:t>
      </w:r>
      <w:r w:rsidR="001E1307">
        <w:rPr>
          <w:rFonts w:ascii="宋体" w:hAnsi="宋体" w:cs="宋体" w:hint="eastAsia"/>
          <w:kern w:val="0"/>
          <w:sz w:val="24"/>
          <w:lang w:val="zh-CN"/>
        </w:rPr>
        <w:t>62881</w:t>
      </w:r>
      <w:r w:rsidRPr="00C130B0">
        <w:rPr>
          <w:rFonts w:ascii="宋体" w:hAnsi="宋体"/>
          <w:sz w:val="24"/>
        </w:rPr>
        <w:t>篇</w:t>
      </w:r>
      <w:r w:rsidRPr="00C130B0">
        <w:rPr>
          <w:rFonts w:ascii="宋体" w:hAnsi="宋体" w:hint="eastAsia"/>
          <w:sz w:val="24"/>
        </w:rPr>
        <w:t>，201</w:t>
      </w:r>
      <w:r w:rsidR="001E1307">
        <w:rPr>
          <w:rFonts w:ascii="宋体" w:hAnsi="宋体" w:hint="eastAsia"/>
          <w:sz w:val="24"/>
        </w:rPr>
        <w:t>8</w:t>
      </w:r>
      <w:r w:rsidRPr="00C130B0">
        <w:rPr>
          <w:rFonts w:ascii="宋体" w:hAnsi="宋体" w:hint="eastAsia"/>
          <w:sz w:val="24"/>
        </w:rPr>
        <w:t>年度更新论文</w:t>
      </w:r>
      <w:r w:rsidR="001E1307">
        <w:rPr>
          <w:rFonts w:ascii="宋体" w:hAnsi="宋体"/>
          <w:sz w:val="24"/>
        </w:rPr>
        <w:t>6</w:t>
      </w:r>
      <w:r w:rsidR="001E1307">
        <w:rPr>
          <w:rFonts w:ascii="宋体" w:hAnsi="宋体" w:hint="eastAsia"/>
          <w:sz w:val="24"/>
        </w:rPr>
        <w:t>0774</w:t>
      </w:r>
      <w:r w:rsidRPr="00C130B0">
        <w:rPr>
          <w:rFonts w:ascii="宋体" w:hAnsi="宋体" w:hint="eastAsia"/>
          <w:sz w:val="24"/>
        </w:rPr>
        <w:t>篇</w:t>
      </w:r>
      <w:r w:rsidRPr="00C130B0">
        <w:rPr>
          <w:rFonts w:ascii="宋体" w:hAnsi="宋体"/>
          <w:sz w:val="24"/>
        </w:rPr>
        <w:t>。这个优秀</w:t>
      </w:r>
      <w:r w:rsidRPr="00C130B0">
        <w:rPr>
          <w:rFonts w:ascii="宋体" w:hAnsi="宋体" w:hint="eastAsia"/>
          <w:sz w:val="24"/>
        </w:rPr>
        <w:t>的数据库覆盖了大部分北美地区高等院校以及世界其他地区数千个高等院校每年获得通过的博硕士论文。很多世界著名的高校，包括</w:t>
      </w:r>
      <w:r w:rsidRPr="00C130B0">
        <w:rPr>
          <w:rFonts w:ascii="宋体" w:hAnsi="宋体"/>
          <w:sz w:val="24"/>
        </w:rPr>
        <w:t>Harvard University</w:t>
      </w:r>
      <w:r w:rsidRPr="00C130B0">
        <w:rPr>
          <w:rFonts w:ascii="宋体" w:hAnsi="宋体" w:hint="eastAsia"/>
          <w:sz w:val="24"/>
        </w:rPr>
        <w:t>、</w:t>
      </w:r>
      <w:r w:rsidRPr="00C130B0">
        <w:rPr>
          <w:rFonts w:ascii="宋体" w:hAnsi="宋体"/>
          <w:sz w:val="24"/>
        </w:rPr>
        <w:t>Massachusetts Institue of Technology</w:t>
      </w:r>
      <w:r w:rsidRPr="00C130B0">
        <w:rPr>
          <w:rFonts w:ascii="宋体" w:hAnsi="宋体" w:hint="eastAsia"/>
          <w:sz w:val="24"/>
        </w:rPr>
        <w:t>、Cambridge University、</w:t>
      </w:r>
      <w:r w:rsidRPr="00C130B0">
        <w:rPr>
          <w:rFonts w:ascii="宋体" w:hAnsi="宋体"/>
          <w:sz w:val="24"/>
        </w:rPr>
        <w:t>Stanford University</w:t>
      </w:r>
      <w:r w:rsidRPr="00C130B0">
        <w:rPr>
          <w:rFonts w:ascii="宋体" w:hAnsi="宋体" w:hint="eastAsia"/>
          <w:sz w:val="24"/>
        </w:rPr>
        <w:t xml:space="preserve">、 </w:t>
      </w:r>
      <w:r w:rsidRPr="00C130B0">
        <w:rPr>
          <w:rFonts w:ascii="宋体" w:hAnsi="宋体"/>
          <w:sz w:val="24"/>
        </w:rPr>
        <w:t>Hong Kong University of Science and Technology</w:t>
      </w:r>
      <w:r w:rsidRPr="00C130B0">
        <w:rPr>
          <w:rFonts w:ascii="宋体" w:hAnsi="宋体" w:hint="eastAsia"/>
          <w:sz w:val="24"/>
        </w:rPr>
        <w:t>的博硕士论文也收录</w:t>
      </w:r>
      <w:r w:rsidR="001E1307">
        <w:rPr>
          <w:rFonts w:ascii="宋体" w:hAnsi="宋体" w:hint="eastAsia"/>
          <w:sz w:val="24"/>
        </w:rPr>
        <w:t>在这个数据库中。</w:t>
      </w:r>
    </w:p>
    <w:p w:rsidR="00F6700D" w:rsidRDefault="00F6700D">
      <w:pPr>
        <w:ind w:left="-424"/>
        <w:rPr>
          <w:rFonts w:eastAsia="黑体"/>
          <w:sz w:val="24"/>
          <w:szCs w:val="24"/>
        </w:rPr>
      </w:pPr>
    </w:p>
    <w:p w:rsidR="00F6700D" w:rsidRDefault="00460E25">
      <w:pPr>
        <w:pStyle w:val="2"/>
      </w:pPr>
      <w:r>
        <w:rPr>
          <w:rFonts w:hint="eastAsia"/>
        </w:rPr>
        <w:t>二</w:t>
      </w:r>
      <w:r>
        <w:t>、</w:t>
      </w:r>
      <w:r>
        <w:rPr>
          <w:rFonts w:hint="eastAsia"/>
        </w:rPr>
        <w:t>操作</w:t>
      </w:r>
      <w:r>
        <w:t>指南</w:t>
      </w:r>
    </w:p>
    <w:p w:rsidR="00F6700D" w:rsidRDefault="00460E25" w:rsidP="00F31FD7">
      <w:pPr>
        <w:pStyle w:val="3"/>
        <w:rPr>
          <w:rFonts w:ascii="微软雅黑" w:eastAsia="微软雅黑" w:hAnsi="微软雅黑" w:cs="Microsoft Sans Serif"/>
          <w:color w:val="333333"/>
          <w:kern w:val="0"/>
          <w:szCs w:val="21"/>
        </w:rPr>
      </w:pPr>
      <w:r>
        <w:t>1</w:t>
      </w:r>
      <w:r>
        <w:t>、进入图书馆网站，</w:t>
      </w:r>
      <w:r w:rsidR="00A01B79">
        <w:rPr>
          <w:rFonts w:hint="eastAsia"/>
        </w:rPr>
        <w:t>点击</w:t>
      </w:r>
      <w:r w:rsidR="00A01B79">
        <w:t>外文数据库</w:t>
      </w:r>
      <w:r w:rsidR="00A01B79">
        <w:rPr>
          <w:rFonts w:hint="eastAsia"/>
        </w:rPr>
        <w:t>，即可</w:t>
      </w:r>
      <w:r w:rsidR="00A01B79">
        <w:t>找到</w:t>
      </w:r>
      <w:r w:rsidR="00A01B79">
        <w:rPr>
          <w:rFonts w:hint="eastAsia"/>
        </w:rPr>
        <w:t>PQDT</w:t>
      </w:r>
      <w:r w:rsidR="00A01B79">
        <w:rPr>
          <w:rFonts w:hint="eastAsia"/>
        </w:rPr>
        <w:t>学位论文全文数据库</w:t>
      </w:r>
      <w:r w:rsidR="00D17622">
        <w:rPr>
          <w:rFonts w:hint="eastAsia"/>
        </w:rPr>
        <w:t>，或直接通过域名访问</w:t>
      </w:r>
      <w:r w:rsidR="00D17622">
        <w:rPr>
          <w:rFonts w:hint="eastAsia"/>
        </w:rPr>
        <w:t>www.pqdtcn.com</w:t>
      </w:r>
    </w:p>
    <w:p w:rsidR="00F6700D" w:rsidRDefault="00460E25">
      <w:pPr>
        <w:pStyle w:val="3"/>
      </w:pPr>
      <w:r>
        <w:t>2</w:t>
      </w:r>
      <w:r>
        <w:t>、</w:t>
      </w:r>
      <w:r w:rsidR="000420BC">
        <w:rPr>
          <w:rFonts w:hint="eastAsia"/>
        </w:rPr>
        <w:t>平台</w:t>
      </w:r>
      <w:r w:rsidR="000420BC">
        <w:t>首页</w:t>
      </w:r>
    </w:p>
    <w:p w:rsidR="00F6700D" w:rsidRDefault="007C43E3">
      <w:pPr>
        <w:widowControl/>
        <w:spacing w:line="0" w:lineRule="atLeast"/>
        <w:jc w:val="left"/>
      </w:pPr>
      <w:r>
        <w:rPr>
          <w:noProof/>
        </w:rPr>
        <w:t>新平台支持基本检索</w:t>
      </w:r>
      <w:r>
        <w:rPr>
          <w:rFonts w:hint="eastAsia"/>
          <w:noProof/>
        </w:rPr>
        <w:t>、</w:t>
      </w:r>
      <w:r>
        <w:rPr>
          <w:noProof/>
        </w:rPr>
        <w:t>高级检索及分类导航</w:t>
      </w:r>
      <w:r w:rsidR="003B0A5C">
        <w:rPr>
          <w:noProof/>
        </w:rPr>
        <w:t>三种检索方式</w:t>
      </w:r>
      <w:r w:rsidR="003B0A5C">
        <w:rPr>
          <w:rFonts w:hint="eastAsia"/>
          <w:noProof/>
        </w:rPr>
        <w:t>，</w:t>
      </w:r>
      <w:r w:rsidR="003B0A5C">
        <w:rPr>
          <w:noProof/>
        </w:rPr>
        <w:t>并可通过精确检索锁定专业词汇</w:t>
      </w:r>
      <w:r w:rsidR="003B0A5C">
        <w:rPr>
          <w:rFonts w:hint="eastAsia"/>
          <w:noProof/>
        </w:rPr>
        <w:t>。</w:t>
      </w:r>
    </w:p>
    <w:p w:rsidR="000420BC" w:rsidRDefault="000420BC">
      <w:pPr>
        <w:widowControl/>
        <w:spacing w:line="0" w:lineRule="atLeast"/>
        <w:jc w:val="left"/>
      </w:pPr>
      <w:r>
        <w:rPr>
          <w:noProof/>
        </w:rPr>
        <w:drawing>
          <wp:inline distT="0" distB="0" distL="0" distR="0">
            <wp:extent cx="5274310" cy="3770335"/>
            <wp:effectExtent l="19050" t="0" r="2540" b="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274310" cy="3770335"/>
                    </a:xfrm>
                    <a:prstGeom prst="rect">
                      <a:avLst/>
                    </a:prstGeom>
                    <a:noFill/>
                    <a:ln w="9525">
                      <a:noFill/>
                      <a:miter lim="800000"/>
                      <a:headEnd/>
                      <a:tailEnd/>
                    </a:ln>
                  </pic:spPr>
                </pic:pic>
              </a:graphicData>
            </a:graphic>
          </wp:inline>
        </w:drawing>
      </w:r>
    </w:p>
    <w:p w:rsidR="009E798A" w:rsidRDefault="00460E25">
      <w:pPr>
        <w:pStyle w:val="3"/>
      </w:pPr>
      <w:r>
        <w:lastRenderedPageBreak/>
        <w:t>3</w:t>
      </w:r>
      <w:r>
        <w:t>、</w:t>
      </w:r>
      <w:r w:rsidR="00EC16B6">
        <w:rPr>
          <w:rFonts w:hint="eastAsia"/>
        </w:rPr>
        <w:t>界面</w:t>
      </w:r>
      <w:r w:rsidR="00EC16B6">
        <w:t>右上方</w:t>
      </w:r>
      <w:r w:rsidR="00EC16B6">
        <w:rPr>
          <w:b w:val="0"/>
          <w:noProof/>
        </w:rPr>
        <w:drawing>
          <wp:inline distT="0" distB="0" distL="0" distR="0">
            <wp:extent cx="264160" cy="259080"/>
            <wp:effectExtent l="19050" t="0" r="254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264160" cy="259080"/>
                    </a:xfrm>
                    <a:prstGeom prst="rect">
                      <a:avLst/>
                    </a:prstGeom>
                    <a:noFill/>
                    <a:ln w="9525">
                      <a:noFill/>
                      <a:miter lim="800000"/>
                      <a:headEnd/>
                      <a:tailEnd/>
                    </a:ln>
                  </pic:spPr>
                </pic:pic>
              </a:graphicData>
            </a:graphic>
          </wp:inline>
        </w:drawing>
      </w:r>
      <w:r w:rsidR="00EC16B6">
        <w:t>可进行个性化账号注册</w:t>
      </w:r>
    </w:p>
    <w:p w:rsidR="00F6700D" w:rsidRDefault="009E798A" w:rsidP="009E798A">
      <w:pPr>
        <w:pStyle w:val="3"/>
      </w:pPr>
      <w:r>
        <w:rPr>
          <w:rFonts w:hint="eastAsia"/>
        </w:rPr>
        <w:t>检索结果页面读者可在登陆个性化账号后可一键式向图书馆提交论文采购需求</w:t>
      </w:r>
    </w:p>
    <w:p w:rsidR="00F6700D" w:rsidRDefault="003A3018">
      <w:pPr>
        <w:widowControl/>
        <w:spacing w:line="0" w:lineRule="atLeast"/>
        <w:jc w:val="left"/>
      </w:pPr>
      <w:r>
        <w:rPr>
          <w:noProof/>
        </w:rPr>
        <w:drawing>
          <wp:inline distT="0" distB="0" distL="0" distR="0">
            <wp:extent cx="5274310" cy="3803741"/>
            <wp:effectExtent l="1905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5274310" cy="3803741"/>
                    </a:xfrm>
                    <a:prstGeom prst="rect">
                      <a:avLst/>
                    </a:prstGeom>
                    <a:noFill/>
                    <a:ln w="9525">
                      <a:noFill/>
                      <a:miter lim="800000"/>
                      <a:headEnd/>
                      <a:tailEnd/>
                    </a:ln>
                  </pic:spPr>
                </pic:pic>
              </a:graphicData>
            </a:graphic>
          </wp:inline>
        </w:drawing>
      </w:r>
    </w:p>
    <w:p w:rsidR="0004101E" w:rsidRDefault="0004101E">
      <w:pPr>
        <w:widowControl/>
        <w:spacing w:line="0" w:lineRule="atLeast"/>
        <w:jc w:val="left"/>
      </w:pPr>
    </w:p>
    <w:p w:rsidR="00F6700D" w:rsidRPr="00134A14" w:rsidRDefault="00460E25">
      <w:pPr>
        <w:pStyle w:val="3"/>
      </w:pPr>
      <w:bookmarkStart w:id="0" w:name="_GoBack"/>
      <w:bookmarkEnd w:id="0"/>
      <w:r>
        <w:t>4</w:t>
      </w:r>
      <w:r>
        <w:t>、</w:t>
      </w:r>
      <w:r w:rsidR="00134A14">
        <w:t>读者荐购后可通过界面右上方</w:t>
      </w:r>
      <w:r w:rsidR="00134A14" w:rsidRPr="00134A14">
        <w:rPr>
          <w:noProof/>
        </w:rPr>
        <w:drawing>
          <wp:inline distT="0" distB="0" distL="0" distR="0">
            <wp:extent cx="264160" cy="259080"/>
            <wp:effectExtent l="19050" t="0" r="2540" b="0"/>
            <wp:docPr id="8"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264160" cy="259080"/>
                    </a:xfrm>
                    <a:prstGeom prst="rect">
                      <a:avLst/>
                    </a:prstGeom>
                    <a:noFill/>
                    <a:ln w="9525">
                      <a:noFill/>
                      <a:miter lim="800000"/>
                      <a:headEnd/>
                      <a:tailEnd/>
                    </a:ln>
                  </pic:spPr>
                </pic:pic>
              </a:graphicData>
            </a:graphic>
          </wp:inline>
        </w:drawing>
      </w:r>
      <w:r w:rsidR="00134A14">
        <w:t>进入个性化账号</w:t>
      </w:r>
      <w:r w:rsidR="00134A14">
        <w:rPr>
          <w:rFonts w:hint="eastAsia"/>
        </w:rPr>
        <w:t>，</w:t>
      </w:r>
      <w:r w:rsidR="00134A14">
        <w:t>通过账号页面</w:t>
      </w:r>
      <w:r w:rsidR="00134A14">
        <w:rPr>
          <w:rFonts w:hint="eastAsia"/>
        </w:rPr>
        <w:t>“我的荐购”即时跟踪荐购论文状态，审核状态为图书馆是否同意采购读者荐购的论文，论文状态则是论文订购状态的跟踪，如订购成功有全文，则系统会自动发送邮件至读者注册账号填写的邮箱中。</w:t>
      </w:r>
    </w:p>
    <w:p w:rsidR="00F6700D" w:rsidRDefault="00134A14">
      <w:pPr>
        <w:widowControl/>
        <w:spacing w:line="0" w:lineRule="atLeast"/>
        <w:jc w:val="left"/>
      </w:pPr>
      <w:r>
        <w:rPr>
          <w:noProof/>
        </w:rPr>
        <w:drawing>
          <wp:inline distT="0" distB="0" distL="0" distR="0">
            <wp:extent cx="5274310" cy="2492260"/>
            <wp:effectExtent l="19050" t="0" r="254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srcRect/>
                    <a:stretch>
                      <a:fillRect/>
                    </a:stretch>
                  </pic:blipFill>
                  <pic:spPr bwMode="auto">
                    <a:xfrm>
                      <a:off x="0" y="0"/>
                      <a:ext cx="5274310" cy="2492260"/>
                    </a:xfrm>
                    <a:prstGeom prst="rect">
                      <a:avLst/>
                    </a:prstGeom>
                    <a:noFill/>
                    <a:ln w="9525">
                      <a:noFill/>
                      <a:miter lim="800000"/>
                      <a:headEnd/>
                      <a:tailEnd/>
                    </a:ln>
                  </pic:spPr>
                </pic:pic>
              </a:graphicData>
            </a:graphic>
          </wp:inline>
        </w:drawing>
      </w:r>
    </w:p>
    <w:p w:rsidR="00F6700D" w:rsidRPr="00862C24" w:rsidRDefault="00862C24">
      <w:pPr>
        <w:rPr>
          <w:b/>
        </w:rPr>
      </w:pPr>
      <w:r w:rsidRPr="00862C24">
        <w:rPr>
          <w:rFonts w:hint="eastAsia"/>
          <w:b/>
        </w:rPr>
        <w:t>注，邮箱等信息一定填写准确以免影响读者个性化服务</w:t>
      </w:r>
    </w:p>
    <w:sectPr w:rsidR="00F6700D" w:rsidRPr="00862C24" w:rsidSect="00F6700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825" w:rsidRDefault="00D04825" w:rsidP="007C242B">
      <w:r>
        <w:separator/>
      </w:r>
    </w:p>
  </w:endnote>
  <w:endnote w:type="continuationSeparator" w:id="1">
    <w:p w:rsidR="00D04825" w:rsidRDefault="00D04825" w:rsidP="007C242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825" w:rsidRDefault="00D04825" w:rsidP="007C242B">
      <w:r>
        <w:separator/>
      </w:r>
    </w:p>
  </w:footnote>
  <w:footnote w:type="continuationSeparator" w:id="1">
    <w:p w:rsidR="00D04825" w:rsidRDefault="00D04825" w:rsidP="007C24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03D92"/>
    <w:multiLevelType w:val="multilevel"/>
    <w:tmpl w:val="2D803D9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4BF5"/>
    <w:rsid w:val="0004101E"/>
    <w:rsid w:val="000420BC"/>
    <w:rsid w:val="000A78FF"/>
    <w:rsid w:val="00134A14"/>
    <w:rsid w:val="001E1307"/>
    <w:rsid w:val="00337F36"/>
    <w:rsid w:val="00346741"/>
    <w:rsid w:val="003A3018"/>
    <w:rsid w:val="003B0A5C"/>
    <w:rsid w:val="00460E25"/>
    <w:rsid w:val="00504B73"/>
    <w:rsid w:val="005515CD"/>
    <w:rsid w:val="005C78AC"/>
    <w:rsid w:val="007452F7"/>
    <w:rsid w:val="007C242B"/>
    <w:rsid w:val="007C43E3"/>
    <w:rsid w:val="00826318"/>
    <w:rsid w:val="00862C24"/>
    <w:rsid w:val="009E798A"/>
    <w:rsid w:val="00A01B79"/>
    <w:rsid w:val="00B966BF"/>
    <w:rsid w:val="00CF7147"/>
    <w:rsid w:val="00D04825"/>
    <w:rsid w:val="00D17622"/>
    <w:rsid w:val="00D54BF5"/>
    <w:rsid w:val="00EC16B6"/>
    <w:rsid w:val="00F05E01"/>
    <w:rsid w:val="00F31FD7"/>
    <w:rsid w:val="00F6700D"/>
    <w:rsid w:val="1F4838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0"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00D"/>
    <w:pPr>
      <w:widowControl w:val="0"/>
      <w:jc w:val="both"/>
    </w:pPr>
    <w:rPr>
      <w:rFonts w:ascii="Times New Roman" w:eastAsia="宋体" w:hAnsi="Times New Roman" w:cs="Times New Roman"/>
      <w:kern w:val="2"/>
      <w:sz w:val="21"/>
    </w:rPr>
  </w:style>
  <w:style w:type="paragraph" w:styleId="1">
    <w:name w:val="heading 1"/>
    <w:basedOn w:val="a"/>
    <w:next w:val="a"/>
    <w:uiPriority w:val="9"/>
    <w:qFormat/>
    <w:rsid w:val="00F6700D"/>
    <w:pPr>
      <w:keepNext/>
      <w:keepLines/>
      <w:spacing w:line="576" w:lineRule="auto"/>
      <w:jc w:val="center"/>
      <w:outlineLvl w:val="0"/>
    </w:pPr>
    <w:rPr>
      <w:b/>
      <w:kern w:val="44"/>
      <w:sz w:val="28"/>
    </w:rPr>
  </w:style>
  <w:style w:type="paragraph" w:styleId="2">
    <w:name w:val="heading 2"/>
    <w:basedOn w:val="a"/>
    <w:next w:val="a"/>
    <w:uiPriority w:val="9"/>
    <w:unhideWhenUsed/>
    <w:qFormat/>
    <w:rsid w:val="00F6700D"/>
    <w:pPr>
      <w:keepNext/>
      <w:keepLines/>
      <w:spacing w:line="413" w:lineRule="auto"/>
      <w:jc w:val="left"/>
      <w:outlineLvl w:val="1"/>
    </w:pPr>
    <w:rPr>
      <w:rFonts w:ascii="Arial" w:hAnsi="Arial"/>
      <w:b/>
      <w:sz w:val="24"/>
    </w:rPr>
  </w:style>
  <w:style w:type="paragraph" w:styleId="3">
    <w:name w:val="heading 3"/>
    <w:basedOn w:val="a"/>
    <w:next w:val="a"/>
    <w:unhideWhenUsed/>
    <w:qFormat/>
    <w:rsid w:val="00F6700D"/>
    <w:pPr>
      <w:keepNext/>
      <w:keepLines/>
      <w:spacing w:line="413" w:lineRule="auto"/>
      <w:jc w:val="left"/>
      <w:outlineLvl w:val="2"/>
    </w:pPr>
    <w:rPr>
      <w:rFonts w:asciiTheme="minorHAnsi" w:hAnsiTheme="minorHAnsi"/>
      <w:b/>
      <w:sz w:val="24"/>
    </w:rPr>
  </w:style>
  <w:style w:type="paragraph" w:styleId="4">
    <w:name w:val="heading 4"/>
    <w:basedOn w:val="a"/>
    <w:next w:val="a"/>
    <w:link w:val="4Char"/>
    <w:unhideWhenUsed/>
    <w:qFormat/>
    <w:rsid w:val="00F6700D"/>
    <w:pPr>
      <w:keepNext/>
      <w:keepLines/>
      <w:spacing w:line="372" w:lineRule="auto"/>
      <w:outlineLvl w:val="3"/>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6700D"/>
    <w:pPr>
      <w:tabs>
        <w:tab w:val="center" w:pos="4153"/>
        <w:tab w:val="right" w:pos="8306"/>
      </w:tabs>
      <w:snapToGrid w:val="0"/>
      <w:jc w:val="left"/>
    </w:pPr>
    <w:rPr>
      <w:sz w:val="18"/>
      <w:szCs w:val="18"/>
    </w:rPr>
  </w:style>
  <w:style w:type="paragraph" w:styleId="a4">
    <w:name w:val="header"/>
    <w:basedOn w:val="a"/>
    <w:link w:val="Char0"/>
    <w:uiPriority w:val="99"/>
    <w:unhideWhenUsed/>
    <w:rsid w:val="00F670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6700D"/>
    <w:rPr>
      <w:rFonts w:ascii="Times New Roman" w:eastAsia="宋体" w:hAnsi="Times New Roman" w:cs="Times New Roman"/>
      <w:sz w:val="18"/>
      <w:szCs w:val="18"/>
    </w:rPr>
  </w:style>
  <w:style w:type="character" w:customStyle="1" w:styleId="Char">
    <w:name w:val="页脚 Char"/>
    <w:basedOn w:val="a0"/>
    <w:link w:val="a3"/>
    <w:uiPriority w:val="99"/>
    <w:rsid w:val="00F6700D"/>
    <w:rPr>
      <w:rFonts w:ascii="Times New Roman" w:eastAsia="宋体" w:hAnsi="Times New Roman" w:cs="Times New Roman"/>
      <w:sz w:val="18"/>
      <w:szCs w:val="18"/>
    </w:rPr>
  </w:style>
  <w:style w:type="character" w:customStyle="1" w:styleId="4Char">
    <w:name w:val="标题 4 Char"/>
    <w:link w:val="4"/>
    <w:qFormat/>
    <w:rsid w:val="00F6700D"/>
    <w:rPr>
      <w:rFonts w:ascii="Arial" w:eastAsia="宋体" w:hAnsi="Arial"/>
      <w:b/>
      <w:sz w:val="24"/>
    </w:rPr>
  </w:style>
  <w:style w:type="paragraph" w:styleId="a5">
    <w:name w:val="List Paragraph"/>
    <w:basedOn w:val="a"/>
    <w:uiPriority w:val="34"/>
    <w:qFormat/>
    <w:rsid w:val="00F6700D"/>
    <w:pPr>
      <w:ind w:firstLineChars="200" w:firstLine="420"/>
    </w:pPr>
  </w:style>
  <w:style w:type="paragraph" w:styleId="a6">
    <w:name w:val="Balloon Text"/>
    <w:basedOn w:val="a"/>
    <w:link w:val="Char1"/>
    <w:uiPriority w:val="99"/>
    <w:semiHidden/>
    <w:unhideWhenUsed/>
    <w:rsid w:val="007C242B"/>
    <w:rPr>
      <w:sz w:val="18"/>
      <w:szCs w:val="18"/>
    </w:rPr>
  </w:style>
  <w:style w:type="character" w:customStyle="1" w:styleId="Char1">
    <w:name w:val="批注框文本 Char"/>
    <w:basedOn w:val="a0"/>
    <w:link w:val="a6"/>
    <w:uiPriority w:val="99"/>
    <w:semiHidden/>
    <w:rsid w:val="007C242B"/>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105</Words>
  <Characters>599</Characters>
  <Application>Microsoft Office Word</Application>
  <DocSecurity>0</DocSecurity>
  <Lines>4</Lines>
  <Paragraphs>1</Paragraphs>
  <ScaleCrop>false</ScaleCrop>
  <Company>Sinopec</Company>
  <LinksUpToDate>false</LinksUpToDate>
  <CharactersWithSpaces>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user</cp:lastModifiedBy>
  <cp:revision>21</cp:revision>
  <dcterms:created xsi:type="dcterms:W3CDTF">2019-05-30T01:36:00Z</dcterms:created>
  <dcterms:modified xsi:type="dcterms:W3CDTF">2019-06-05T02:04:00Z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2052-11.1.0.8654</vt:lpwstr>
  </property>
</Properties>
</file>